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69" w:rsidRPr="00F37C42" w:rsidRDefault="001E7869" w:rsidP="0091748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2"/>
        </w:rPr>
      </w:pPr>
      <w:r w:rsidRPr="00F37C42">
        <w:rPr>
          <w:rFonts w:ascii="宋体" w:eastAsia="宋体" w:hAnsi="宋体" w:cs="宋体" w:hint="eastAsia"/>
          <w:kern w:val="0"/>
          <w:sz w:val="22"/>
        </w:rPr>
        <w:t>权利要求书</w:t>
      </w:r>
    </w:p>
    <w:p w:rsidR="001E7869" w:rsidRPr="00F37C42" w:rsidRDefault="001E7869" w:rsidP="001E7869">
      <w:pPr>
        <w:widowControl/>
        <w:spacing w:before="100" w:beforeAutospacing="1" w:after="100" w:afterAutospacing="1"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r w:rsidRPr="00F37C42">
        <w:rPr>
          <w:rFonts w:ascii="宋体" w:eastAsia="宋体" w:hAnsi="宋体" w:cs="宋体" w:hint="eastAsia"/>
          <w:kern w:val="0"/>
          <w:sz w:val="22"/>
        </w:rPr>
        <w:t xml:space="preserve">凡是利用废镁碳砖在800℃以上的温度下燃烧后，生产电熔镁砂的方法即为本要求保护的范围。 </w:t>
      </w:r>
    </w:p>
    <w:p w:rsidR="00D17314" w:rsidRPr="001E7869" w:rsidRDefault="00D17314"/>
    <w:sectPr w:rsidR="00D17314" w:rsidRPr="001E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314" w:rsidRDefault="00D17314" w:rsidP="001E7869">
      <w:r>
        <w:separator/>
      </w:r>
    </w:p>
  </w:endnote>
  <w:endnote w:type="continuationSeparator" w:id="1">
    <w:p w:rsidR="00D17314" w:rsidRDefault="00D17314" w:rsidP="001E7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314" w:rsidRDefault="00D17314" w:rsidP="001E7869">
      <w:r>
        <w:separator/>
      </w:r>
    </w:p>
  </w:footnote>
  <w:footnote w:type="continuationSeparator" w:id="1">
    <w:p w:rsidR="00D17314" w:rsidRDefault="00D17314" w:rsidP="001E7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869"/>
    <w:rsid w:val="001E7869"/>
    <w:rsid w:val="0091748D"/>
    <w:rsid w:val="00D1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2015-05-05T06:15:00Z</dcterms:created>
  <dcterms:modified xsi:type="dcterms:W3CDTF">2015-05-05T06:15:00Z</dcterms:modified>
</cp:coreProperties>
</file>